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ESTATÍSTICA EXPERIMENTAL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Aspectos básicos da estatística experimental</w:t>
              <w:br/>
              <w:t>2.</w:t>
              <w:tab/>
              <w:t>Testes de significância</w:t>
              <w:br/>
              <w:t>3.</w:t>
              <w:tab/>
              <w:t>Delineamentos experimentais: DIC, DBC</w:t>
              <w:br/>
              <w:t>4.</w:t>
              <w:tab/>
              <w:t>Experimentos fatoriais</w:t>
              <w:br/>
              <w:t>5.</w:t>
              <w:tab/>
              <w:t>Análise de Regressão</w:t>
              <w:br/>
              <w:t>6.</w:t>
              <w:tab/>
              <w:t>Análise multivariada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Kronka, Sergio do Nascimento. Experimentação Agrícola, 4edição, Jaboticabal, 2006.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